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5B68E">
      <w:pPr>
        <w:adjustRightInd w:val="0"/>
        <w:snapToGrid w:val="0"/>
        <w:spacing w:line="594" w:lineRule="exact"/>
        <w:jc w:val="center"/>
        <w:rPr>
          <w:rFonts w:eastAsia="方正小标宋简体"/>
          <w:sz w:val="32"/>
          <w:szCs w:val="32"/>
        </w:rPr>
      </w:pPr>
      <w:r>
        <w:rPr>
          <w:rFonts w:hint="eastAsia" w:eastAsia="方正小标宋简体"/>
          <w:sz w:val="32"/>
          <w:szCs w:val="32"/>
        </w:rPr>
        <w:t>202</w:t>
      </w:r>
      <w:r>
        <w:rPr>
          <w:rFonts w:hint="eastAsia"/>
          <w:sz w:val="32"/>
          <w:szCs w:val="32"/>
          <w:lang w:val="en-US" w:eastAsia="zh-CN"/>
        </w:rPr>
        <w:t>6</w:t>
      </w:r>
      <w:r>
        <w:rPr>
          <w:rFonts w:hint="eastAsia" w:eastAsia="方正小标宋简体"/>
          <w:sz w:val="32"/>
          <w:szCs w:val="32"/>
        </w:rPr>
        <w:t>年福州市</w:t>
      </w:r>
      <w:r>
        <w:rPr>
          <w:rFonts w:eastAsia="方正小标宋简体"/>
          <w:sz w:val="32"/>
          <w:szCs w:val="32"/>
        </w:rPr>
        <w:t>燃气用具连接用软管质量监督抽查实施细则</w:t>
      </w:r>
    </w:p>
    <w:p w14:paraId="7CF269BC">
      <w:pPr>
        <w:snapToGrid w:val="0"/>
        <w:spacing w:line="440" w:lineRule="exact"/>
        <w:jc w:val="center"/>
        <w:rPr>
          <w:rFonts w:eastAsia="方正小标宋简体"/>
          <w:sz w:val="32"/>
          <w:szCs w:val="32"/>
        </w:rPr>
      </w:pPr>
    </w:p>
    <w:p w14:paraId="550F29FF">
      <w:pPr>
        <w:snapToGrid w:val="0"/>
        <w:spacing w:line="440" w:lineRule="exact"/>
        <w:rPr>
          <w:rFonts w:eastAsia="黑体"/>
          <w:szCs w:val="21"/>
        </w:rPr>
      </w:pPr>
      <w:r>
        <w:rPr>
          <w:rFonts w:eastAsia="黑体"/>
          <w:szCs w:val="21"/>
        </w:rPr>
        <w:t>1 抽样方法</w:t>
      </w:r>
    </w:p>
    <w:p w14:paraId="59532711">
      <w:pPr>
        <w:snapToGrid w:val="0"/>
        <w:spacing w:line="440" w:lineRule="exact"/>
        <w:ind w:firstLine="420" w:firstLineChars="200"/>
        <w:rPr>
          <w:szCs w:val="21"/>
        </w:rPr>
      </w:pPr>
      <w:r>
        <w:rPr>
          <w:szCs w:val="21"/>
        </w:rPr>
        <w:t>以随机抽样的方式在被抽样销售者的待销产品中抽取。</w:t>
      </w:r>
    </w:p>
    <w:p w14:paraId="1AD8A690">
      <w:pPr>
        <w:snapToGrid w:val="0"/>
        <w:spacing w:line="440" w:lineRule="exact"/>
        <w:ind w:firstLine="420" w:firstLineChars="200"/>
        <w:rPr>
          <w:szCs w:val="21"/>
        </w:rPr>
      </w:pPr>
      <w:r>
        <w:rPr>
          <w:szCs w:val="21"/>
        </w:rPr>
        <w:t>随机数一般可使用随机数表等方法产生。</w:t>
      </w:r>
    </w:p>
    <w:p w14:paraId="38390199">
      <w:pPr>
        <w:snapToGrid w:val="0"/>
        <w:spacing w:line="440" w:lineRule="exact"/>
        <w:ind w:firstLine="420" w:firstLineChars="200"/>
        <w:jc w:val="left"/>
        <w:rPr>
          <w:color w:val="auto"/>
          <w:szCs w:val="21"/>
        </w:rPr>
      </w:pPr>
      <w:r>
        <w:rPr>
          <w:rFonts w:hint="eastAsia"/>
          <w:szCs w:val="21"/>
        </w:rPr>
        <w:t>每批次产品抽</w:t>
      </w:r>
      <w:r>
        <w:rPr>
          <w:rFonts w:hint="eastAsia"/>
          <w:color w:val="auto"/>
          <w:szCs w:val="21"/>
        </w:rPr>
        <w:t>取样品3根，其中2根为检验样品，1根为备用样品。</w:t>
      </w:r>
    </w:p>
    <w:p w14:paraId="69D5197E">
      <w:pPr>
        <w:snapToGrid w:val="0"/>
        <w:spacing w:line="440" w:lineRule="exact"/>
        <w:rPr>
          <w:rFonts w:eastAsia="黑体"/>
          <w:szCs w:val="21"/>
        </w:rPr>
      </w:pPr>
      <w:r>
        <w:rPr>
          <w:rFonts w:eastAsia="黑体"/>
          <w:szCs w:val="21"/>
        </w:rPr>
        <w:t>2 检验依据</w:t>
      </w:r>
    </w:p>
    <w:p w14:paraId="228B6B88">
      <w:pPr>
        <w:snapToGrid w:val="0"/>
        <w:spacing w:line="440" w:lineRule="exact"/>
        <w:rPr>
          <w:rFonts w:eastAsia="黑体"/>
          <w:szCs w:val="21"/>
        </w:rPr>
      </w:pPr>
    </w:p>
    <w:p w14:paraId="2FBECFF5">
      <w:pPr>
        <w:snapToGrid w:val="0"/>
        <w:spacing w:line="440" w:lineRule="exact"/>
        <w:jc w:val="center"/>
        <w:rPr>
          <w:szCs w:val="21"/>
        </w:rPr>
      </w:pPr>
      <w:r>
        <w:rPr>
          <w:szCs w:val="21"/>
        </w:rPr>
        <w:t>表</w:t>
      </w:r>
      <w:r>
        <w:rPr>
          <w:rFonts w:hint="eastAsia"/>
          <w:szCs w:val="21"/>
        </w:rPr>
        <w:t>1</w:t>
      </w:r>
      <w:r>
        <w:rPr>
          <w:szCs w:val="21"/>
        </w:rPr>
        <w:t xml:space="preserve"> 燃气用具连接用不锈钢波纹软管</w:t>
      </w:r>
    </w:p>
    <w:tbl>
      <w:tblPr>
        <w:tblStyle w:val="7"/>
        <w:tblW w:w="83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9"/>
        <w:gridCol w:w="3334"/>
        <w:gridCol w:w="4136"/>
      </w:tblGrid>
      <w:tr w14:paraId="78DA7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57" w:hRule="atLeast"/>
          <w:tblHeader/>
          <w:jc w:val="center"/>
        </w:trPr>
        <w:tc>
          <w:tcPr>
            <w:tcW w:w="879" w:type="dxa"/>
            <w:vAlign w:val="center"/>
          </w:tcPr>
          <w:p w14:paraId="22004274">
            <w:pPr>
              <w:snapToGrid w:val="0"/>
              <w:jc w:val="center"/>
              <w:rPr>
                <w:szCs w:val="21"/>
              </w:rPr>
            </w:pPr>
            <w:r>
              <w:rPr>
                <w:szCs w:val="21"/>
              </w:rPr>
              <w:t>序号</w:t>
            </w:r>
          </w:p>
        </w:tc>
        <w:tc>
          <w:tcPr>
            <w:tcW w:w="3334" w:type="dxa"/>
            <w:vAlign w:val="center"/>
          </w:tcPr>
          <w:p w14:paraId="1479E4A1">
            <w:pPr>
              <w:snapToGrid w:val="0"/>
              <w:jc w:val="center"/>
              <w:rPr>
                <w:szCs w:val="21"/>
              </w:rPr>
            </w:pPr>
            <w:r>
              <w:rPr>
                <w:szCs w:val="21"/>
              </w:rPr>
              <w:t>检验项目</w:t>
            </w:r>
          </w:p>
        </w:tc>
        <w:tc>
          <w:tcPr>
            <w:tcW w:w="4136" w:type="dxa"/>
            <w:vAlign w:val="center"/>
          </w:tcPr>
          <w:p w14:paraId="1A6EBD3C">
            <w:pPr>
              <w:snapToGrid w:val="0"/>
              <w:jc w:val="center"/>
              <w:rPr>
                <w:szCs w:val="21"/>
              </w:rPr>
            </w:pPr>
            <w:r>
              <w:rPr>
                <w:szCs w:val="21"/>
              </w:rPr>
              <w:t>检验方法</w:t>
            </w:r>
          </w:p>
        </w:tc>
      </w:tr>
      <w:tr w14:paraId="0588C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8" w:hRule="atLeast"/>
          <w:jc w:val="center"/>
        </w:trPr>
        <w:tc>
          <w:tcPr>
            <w:tcW w:w="879" w:type="dxa"/>
            <w:vAlign w:val="center"/>
          </w:tcPr>
          <w:p w14:paraId="21AAE61B">
            <w:pPr>
              <w:snapToGrid w:val="0"/>
              <w:jc w:val="center"/>
              <w:rPr>
                <w:szCs w:val="21"/>
              </w:rPr>
            </w:pPr>
            <w:r>
              <w:rPr>
                <w:szCs w:val="21"/>
              </w:rPr>
              <w:t>1</w:t>
            </w:r>
          </w:p>
        </w:tc>
        <w:tc>
          <w:tcPr>
            <w:tcW w:w="3334" w:type="dxa"/>
            <w:tcBorders>
              <w:bottom w:val="single" w:color="auto" w:sz="4" w:space="0"/>
            </w:tcBorders>
            <w:vAlign w:val="center"/>
          </w:tcPr>
          <w:p w14:paraId="2C02C3EA">
            <w:pPr>
              <w:snapToGrid w:val="0"/>
              <w:jc w:val="center"/>
              <w:rPr>
                <w:bCs/>
                <w:szCs w:val="21"/>
              </w:rPr>
            </w:pPr>
            <w:r>
              <w:rPr>
                <w:bCs/>
                <w:szCs w:val="21"/>
              </w:rPr>
              <w:t>气密性</w:t>
            </w:r>
          </w:p>
        </w:tc>
        <w:tc>
          <w:tcPr>
            <w:tcW w:w="4136" w:type="dxa"/>
            <w:vAlign w:val="center"/>
          </w:tcPr>
          <w:p w14:paraId="2DA4C7C4">
            <w:pPr>
              <w:snapToGrid w:val="0"/>
              <w:jc w:val="center"/>
              <w:rPr>
                <w:kern w:val="0"/>
                <w:szCs w:val="21"/>
              </w:rPr>
            </w:pPr>
            <w:r>
              <w:rPr>
                <w:kern w:val="0"/>
                <w:szCs w:val="21"/>
              </w:rPr>
              <w:t>GB/T 41317</w:t>
            </w:r>
            <w:r>
              <w:t>—</w:t>
            </w:r>
            <w:r>
              <w:rPr>
                <w:kern w:val="0"/>
                <w:szCs w:val="21"/>
              </w:rPr>
              <w:t>202</w:t>
            </w:r>
            <w:r>
              <w:rPr>
                <w:rFonts w:hint="eastAsia"/>
                <w:kern w:val="0"/>
                <w:szCs w:val="21"/>
              </w:rPr>
              <w:t>4</w:t>
            </w:r>
          </w:p>
          <w:p w14:paraId="2FDECE64">
            <w:pPr>
              <w:snapToGrid w:val="0"/>
              <w:jc w:val="center"/>
              <w:rPr>
                <w:kern w:val="0"/>
                <w:szCs w:val="21"/>
              </w:rPr>
            </w:pPr>
            <w:r>
              <w:rPr>
                <w:kern w:val="0"/>
                <w:szCs w:val="21"/>
              </w:rPr>
              <w:t>CJ/T 197</w:t>
            </w:r>
            <w:r>
              <w:t>—</w:t>
            </w:r>
            <w:r>
              <w:rPr>
                <w:kern w:val="0"/>
                <w:szCs w:val="21"/>
              </w:rPr>
              <w:t>2010</w:t>
            </w:r>
          </w:p>
        </w:tc>
      </w:tr>
      <w:tr w14:paraId="5B25A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8" w:hRule="atLeast"/>
          <w:jc w:val="center"/>
        </w:trPr>
        <w:tc>
          <w:tcPr>
            <w:tcW w:w="879" w:type="dxa"/>
            <w:vAlign w:val="center"/>
          </w:tcPr>
          <w:p w14:paraId="5260EAD2">
            <w:pPr>
              <w:snapToGrid w:val="0"/>
              <w:jc w:val="center"/>
              <w:rPr>
                <w:szCs w:val="21"/>
              </w:rPr>
            </w:pPr>
            <w:r>
              <w:rPr>
                <w:szCs w:val="21"/>
              </w:rPr>
              <w:t>2</w:t>
            </w:r>
          </w:p>
        </w:tc>
        <w:tc>
          <w:tcPr>
            <w:tcW w:w="3334" w:type="dxa"/>
            <w:tcBorders>
              <w:top w:val="single" w:color="auto" w:sz="4" w:space="0"/>
              <w:bottom w:val="single" w:color="auto" w:sz="4" w:space="0"/>
            </w:tcBorders>
            <w:vAlign w:val="center"/>
          </w:tcPr>
          <w:p w14:paraId="3A76AD88">
            <w:pPr>
              <w:snapToGrid w:val="0"/>
              <w:spacing w:line="240" w:lineRule="atLeast"/>
              <w:jc w:val="center"/>
              <w:rPr>
                <w:bCs/>
                <w:szCs w:val="21"/>
              </w:rPr>
            </w:pPr>
            <w:r>
              <w:rPr>
                <w:bCs/>
                <w:szCs w:val="21"/>
              </w:rPr>
              <w:t>耐压性</w:t>
            </w:r>
          </w:p>
        </w:tc>
        <w:tc>
          <w:tcPr>
            <w:tcW w:w="4136" w:type="dxa"/>
            <w:tcBorders>
              <w:right w:val="single" w:color="auto" w:sz="4" w:space="0"/>
            </w:tcBorders>
            <w:vAlign w:val="center"/>
          </w:tcPr>
          <w:p w14:paraId="3338438F">
            <w:pPr>
              <w:snapToGrid w:val="0"/>
              <w:jc w:val="center"/>
              <w:rPr>
                <w:kern w:val="0"/>
                <w:szCs w:val="21"/>
              </w:rPr>
            </w:pPr>
            <w:r>
              <w:rPr>
                <w:kern w:val="0"/>
                <w:szCs w:val="21"/>
              </w:rPr>
              <w:t>GB/T 41317</w:t>
            </w:r>
            <w:r>
              <w:t>—</w:t>
            </w:r>
            <w:r>
              <w:rPr>
                <w:kern w:val="0"/>
                <w:szCs w:val="21"/>
              </w:rPr>
              <w:t>202</w:t>
            </w:r>
            <w:r>
              <w:rPr>
                <w:rFonts w:hint="eastAsia"/>
                <w:kern w:val="0"/>
                <w:szCs w:val="21"/>
              </w:rPr>
              <w:t>4</w:t>
            </w:r>
          </w:p>
          <w:p w14:paraId="01B88D94">
            <w:pPr>
              <w:snapToGrid w:val="0"/>
              <w:jc w:val="center"/>
              <w:rPr>
                <w:kern w:val="0"/>
                <w:szCs w:val="21"/>
              </w:rPr>
            </w:pPr>
            <w:r>
              <w:rPr>
                <w:kern w:val="0"/>
                <w:szCs w:val="21"/>
              </w:rPr>
              <w:t>CJ/T 197</w:t>
            </w:r>
            <w:r>
              <w:t>—</w:t>
            </w:r>
            <w:r>
              <w:rPr>
                <w:kern w:val="0"/>
                <w:szCs w:val="21"/>
              </w:rPr>
              <w:t>2010</w:t>
            </w:r>
          </w:p>
        </w:tc>
      </w:tr>
      <w:tr w14:paraId="6C988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8" w:hRule="atLeast"/>
          <w:jc w:val="center"/>
        </w:trPr>
        <w:tc>
          <w:tcPr>
            <w:tcW w:w="879" w:type="dxa"/>
            <w:vAlign w:val="center"/>
          </w:tcPr>
          <w:p w14:paraId="7ACA176B">
            <w:pPr>
              <w:snapToGrid w:val="0"/>
              <w:spacing w:line="240" w:lineRule="atLeast"/>
              <w:jc w:val="center"/>
              <w:rPr>
                <w:bCs/>
                <w:szCs w:val="21"/>
              </w:rPr>
            </w:pPr>
            <w:r>
              <w:rPr>
                <w:bCs/>
                <w:szCs w:val="21"/>
              </w:rPr>
              <w:t>3</w:t>
            </w:r>
          </w:p>
        </w:tc>
        <w:tc>
          <w:tcPr>
            <w:tcW w:w="3334" w:type="dxa"/>
            <w:tcBorders>
              <w:top w:val="single" w:color="auto" w:sz="4" w:space="0"/>
            </w:tcBorders>
            <w:vAlign w:val="center"/>
          </w:tcPr>
          <w:p w14:paraId="6DCB423E">
            <w:pPr>
              <w:snapToGrid w:val="0"/>
              <w:spacing w:line="240" w:lineRule="atLeast"/>
              <w:jc w:val="center"/>
              <w:rPr>
                <w:bCs/>
                <w:szCs w:val="21"/>
              </w:rPr>
            </w:pPr>
            <w:r>
              <w:rPr>
                <w:bCs/>
                <w:szCs w:val="21"/>
              </w:rPr>
              <w:t>弯曲性</w:t>
            </w:r>
          </w:p>
        </w:tc>
        <w:tc>
          <w:tcPr>
            <w:tcW w:w="4136" w:type="dxa"/>
            <w:tcBorders>
              <w:right w:val="single" w:color="auto" w:sz="4" w:space="0"/>
            </w:tcBorders>
            <w:vAlign w:val="center"/>
          </w:tcPr>
          <w:p w14:paraId="7F504BBE">
            <w:pPr>
              <w:snapToGrid w:val="0"/>
              <w:jc w:val="center"/>
              <w:rPr>
                <w:kern w:val="0"/>
                <w:szCs w:val="21"/>
              </w:rPr>
            </w:pPr>
            <w:r>
              <w:rPr>
                <w:kern w:val="0"/>
                <w:szCs w:val="21"/>
              </w:rPr>
              <w:t>GB/T 41317</w:t>
            </w:r>
            <w:r>
              <w:t>—</w:t>
            </w:r>
            <w:r>
              <w:rPr>
                <w:kern w:val="0"/>
                <w:szCs w:val="21"/>
              </w:rPr>
              <w:t>202</w:t>
            </w:r>
            <w:r>
              <w:rPr>
                <w:rFonts w:hint="eastAsia"/>
                <w:kern w:val="0"/>
                <w:szCs w:val="21"/>
              </w:rPr>
              <w:t>4</w:t>
            </w:r>
          </w:p>
          <w:p w14:paraId="5A0B8E5C">
            <w:pPr>
              <w:snapToGrid w:val="0"/>
              <w:jc w:val="center"/>
              <w:rPr>
                <w:kern w:val="0"/>
                <w:szCs w:val="21"/>
              </w:rPr>
            </w:pPr>
            <w:r>
              <w:rPr>
                <w:kern w:val="0"/>
                <w:szCs w:val="21"/>
              </w:rPr>
              <w:t>CJ/T 197</w:t>
            </w:r>
            <w:r>
              <w:t>—</w:t>
            </w:r>
            <w:r>
              <w:rPr>
                <w:kern w:val="0"/>
                <w:szCs w:val="21"/>
              </w:rPr>
              <w:t>2010</w:t>
            </w:r>
          </w:p>
        </w:tc>
      </w:tr>
      <w:tr w14:paraId="3E6B5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8" w:hRule="atLeast"/>
          <w:jc w:val="center"/>
        </w:trPr>
        <w:tc>
          <w:tcPr>
            <w:tcW w:w="879" w:type="dxa"/>
            <w:vMerge w:val="restart"/>
            <w:vAlign w:val="center"/>
          </w:tcPr>
          <w:p w14:paraId="41D2826E">
            <w:pPr>
              <w:snapToGrid w:val="0"/>
              <w:spacing w:line="240" w:lineRule="atLeast"/>
              <w:jc w:val="center"/>
              <w:rPr>
                <w:bCs/>
                <w:szCs w:val="21"/>
              </w:rPr>
            </w:pPr>
            <w:r>
              <w:rPr>
                <w:bCs/>
                <w:szCs w:val="21"/>
              </w:rPr>
              <w:t>4</w:t>
            </w:r>
          </w:p>
        </w:tc>
        <w:tc>
          <w:tcPr>
            <w:tcW w:w="3334" w:type="dxa"/>
            <w:vAlign w:val="center"/>
          </w:tcPr>
          <w:p w14:paraId="71CAF01A">
            <w:pPr>
              <w:snapToGrid w:val="0"/>
              <w:spacing w:line="240" w:lineRule="atLeast"/>
              <w:jc w:val="center"/>
              <w:rPr>
                <w:bCs/>
                <w:szCs w:val="21"/>
              </w:rPr>
            </w:pPr>
            <w:r>
              <w:rPr>
                <w:bCs/>
                <w:szCs w:val="21"/>
              </w:rPr>
              <w:t>耐安装</w:t>
            </w:r>
            <w:r>
              <w:rPr>
                <w:rFonts w:hint="eastAsia"/>
                <w:bCs/>
                <w:szCs w:val="21"/>
              </w:rPr>
              <w:t>强度</w:t>
            </w:r>
          </w:p>
        </w:tc>
        <w:tc>
          <w:tcPr>
            <w:tcW w:w="4136" w:type="dxa"/>
            <w:tcBorders>
              <w:right w:val="single" w:color="auto" w:sz="4" w:space="0"/>
            </w:tcBorders>
            <w:vAlign w:val="center"/>
          </w:tcPr>
          <w:p w14:paraId="558690C2">
            <w:pPr>
              <w:snapToGrid w:val="0"/>
              <w:jc w:val="center"/>
              <w:rPr>
                <w:kern w:val="0"/>
                <w:szCs w:val="21"/>
              </w:rPr>
            </w:pPr>
            <w:r>
              <w:rPr>
                <w:kern w:val="0"/>
                <w:szCs w:val="21"/>
              </w:rPr>
              <w:t>GB/T 41317</w:t>
            </w:r>
            <w:r>
              <w:t>—</w:t>
            </w:r>
            <w:r>
              <w:rPr>
                <w:kern w:val="0"/>
                <w:szCs w:val="21"/>
              </w:rPr>
              <w:t>2022</w:t>
            </w:r>
          </w:p>
        </w:tc>
      </w:tr>
      <w:tr w14:paraId="672C8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98" w:hRule="atLeast"/>
          <w:jc w:val="center"/>
        </w:trPr>
        <w:tc>
          <w:tcPr>
            <w:tcW w:w="879" w:type="dxa"/>
            <w:vMerge w:val="continue"/>
            <w:vAlign w:val="center"/>
          </w:tcPr>
          <w:p w14:paraId="19301D9B">
            <w:pPr>
              <w:snapToGrid w:val="0"/>
              <w:spacing w:line="240" w:lineRule="atLeast"/>
              <w:jc w:val="center"/>
              <w:rPr>
                <w:bCs/>
                <w:szCs w:val="21"/>
              </w:rPr>
            </w:pPr>
          </w:p>
        </w:tc>
        <w:tc>
          <w:tcPr>
            <w:tcW w:w="3334" w:type="dxa"/>
            <w:vAlign w:val="center"/>
          </w:tcPr>
          <w:p w14:paraId="22EBE4BA">
            <w:pPr>
              <w:snapToGrid w:val="0"/>
              <w:spacing w:line="240" w:lineRule="atLeast"/>
              <w:jc w:val="center"/>
              <w:rPr>
                <w:bCs/>
                <w:szCs w:val="21"/>
              </w:rPr>
            </w:pPr>
            <w:r>
              <w:rPr>
                <w:bCs/>
                <w:szCs w:val="21"/>
              </w:rPr>
              <w:t>耐安装性</w:t>
            </w:r>
          </w:p>
        </w:tc>
        <w:tc>
          <w:tcPr>
            <w:tcW w:w="4136" w:type="dxa"/>
            <w:tcBorders>
              <w:right w:val="single" w:color="auto" w:sz="4" w:space="0"/>
            </w:tcBorders>
            <w:vAlign w:val="center"/>
          </w:tcPr>
          <w:p w14:paraId="43E64DDC">
            <w:pPr>
              <w:snapToGrid w:val="0"/>
              <w:jc w:val="center"/>
              <w:rPr>
                <w:kern w:val="0"/>
                <w:szCs w:val="21"/>
              </w:rPr>
            </w:pPr>
            <w:r>
              <w:rPr>
                <w:kern w:val="0"/>
                <w:szCs w:val="21"/>
              </w:rPr>
              <w:t>CJ/T 197</w:t>
            </w:r>
            <w:r>
              <w:t>—</w:t>
            </w:r>
            <w:r>
              <w:rPr>
                <w:kern w:val="0"/>
                <w:szCs w:val="21"/>
              </w:rPr>
              <w:t>2010</w:t>
            </w:r>
          </w:p>
        </w:tc>
      </w:tr>
    </w:tbl>
    <w:p w14:paraId="6E9BAE5C">
      <w:pPr>
        <w:snapToGrid w:val="0"/>
        <w:spacing w:line="440" w:lineRule="exact"/>
        <w:jc w:val="center"/>
        <w:rPr>
          <w:rFonts w:ascii="Times New Roman" w:hAnsi="Times New Roman" w:cs="Times New Roman"/>
          <w:szCs w:val="21"/>
        </w:rPr>
      </w:pPr>
      <w:r>
        <w:rPr>
          <w:rFonts w:ascii="Times New Roman" w:hAnsi="Times New Roman" w:cs="Times New Roman"/>
          <w:szCs w:val="21"/>
        </w:rPr>
        <w:t>表2 燃气用具连接用金属包覆软管</w:t>
      </w:r>
    </w:p>
    <w:tbl>
      <w:tblPr>
        <w:tblStyle w:val="7"/>
        <w:tblW w:w="0" w:type="auto"/>
        <w:tblInd w:w="29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914"/>
        <w:gridCol w:w="1306"/>
        <w:gridCol w:w="2070"/>
        <w:gridCol w:w="3954"/>
      </w:tblGrid>
      <w:tr w14:paraId="5D5D56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74" w:hRule="atLeast"/>
        </w:trPr>
        <w:tc>
          <w:tcPr>
            <w:tcW w:w="914" w:type="dxa"/>
            <w:shd w:val="clear"/>
            <w:vAlign w:val="center"/>
          </w:tcPr>
          <w:p w14:paraId="254B77FC">
            <w:pPr>
              <w:snapToGrid w:val="0"/>
              <w:jc w:val="center"/>
              <w:rPr>
                <w:rFonts w:ascii="Times New Roman" w:hAnsi="Times New Roman" w:eastAsia="宋体" w:cs="Times New Roman"/>
                <w:kern w:val="2"/>
                <w:sz w:val="21"/>
                <w:szCs w:val="21"/>
                <w:lang w:val="en-US" w:eastAsia="zh-CN" w:bidi="ar-SA"/>
              </w:rPr>
            </w:pPr>
            <w:r>
              <w:rPr>
                <w:szCs w:val="21"/>
              </w:rPr>
              <w:t>序号</w:t>
            </w:r>
          </w:p>
        </w:tc>
        <w:tc>
          <w:tcPr>
            <w:tcW w:w="3376" w:type="dxa"/>
            <w:gridSpan w:val="2"/>
            <w:shd w:val="clear"/>
            <w:vAlign w:val="center"/>
          </w:tcPr>
          <w:p w14:paraId="68021CF4">
            <w:pPr>
              <w:snapToGrid w:val="0"/>
              <w:jc w:val="center"/>
              <w:rPr>
                <w:rFonts w:ascii="Times New Roman" w:hAnsi="Times New Roman" w:eastAsia="宋体" w:cs="Times New Roman"/>
                <w:kern w:val="2"/>
                <w:sz w:val="21"/>
                <w:szCs w:val="21"/>
                <w:lang w:val="en-US" w:eastAsia="zh-CN" w:bidi="ar-SA"/>
              </w:rPr>
            </w:pPr>
            <w:r>
              <w:rPr>
                <w:szCs w:val="21"/>
              </w:rPr>
              <w:t>检验项目</w:t>
            </w:r>
          </w:p>
        </w:tc>
        <w:tc>
          <w:tcPr>
            <w:tcW w:w="3954" w:type="dxa"/>
            <w:shd w:val="clear"/>
            <w:vAlign w:val="center"/>
          </w:tcPr>
          <w:p w14:paraId="0321922D">
            <w:pPr>
              <w:snapToGrid w:val="0"/>
              <w:jc w:val="center"/>
              <w:rPr>
                <w:rFonts w:ascii="Times New Roman" w:hAnsi="Times New Roman" w:eastAsia="宋体" w:cs="Times New Roman"/>
                <w:kern w:val="2"/>
                <w:sz w:val="21"/>
                <w:szCs w:val="21"/>
                <w:lang w:val="en-US" w:eastAsia="zh-CN" w:bidi="ar-SA"/>
              </w:rPr>
            </w:pPr>
            <w:r>
              <w:rPr>
                <w:szCs w:val="21"/>
              </w:rPr>
              <w:t>检验方法</w:t>
            </w:r>
          </w:p>
        </w:tc>
      </w:tr>
      <w:tr w14:paraId="7FD5CAD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74" w:hRule="atLeast"/>
        </w:trPr>
        <w:tc>
          <w:tcPr>
            <w:tcW w:w="914" w:type="dxa"/>
            <w:shd w:val="clear"/>
            <w:vAlign w:val="center"/>
          </w:tcPr>
          <w:p w14:paraId="1AD8D57F">
            <w:pPr>
              <w:snapToGrid w:val="0"/>
              <w:jc w:val="center"/>
              <w:rPr>
                <w:rFonts w:ascii="Times New Roman" w:hAnsi="Times New Roman" w:eastAsia="宋体" w:cs="Times New Roman"/>
                <w:kern w:val="2"/>
                <w:sz w:val="21"/>
                <w:szCs w:val="21"/>
                <w:lang w:val="en-US" w:eastAsia="zh-CN" w:bidi="ar-SA"/>
              </w:rPr>
            </w:pPr>
            <w:r>
              <w:rPr>
                <w:rFonts w:ascii="Times New Roman" w:hAnsi="Times New Roman" w:cs="Times New Roman"/>
                <w:szCs w:val="21"/>
              </w:rPr>
              <w:t>1</w:t>
            </w:r>
          </w:p>
        </w:tc>
        <w:tc>
          <w:tcPr>
            <w:tcW w:w="3376" w:type="dxa"/>
            <w:gridSpan w:val="2"/>
            <w:shd w:val="clear"/>
            <w:vAlign w:val="center"/>
          </w:tcPr>
          <w:p w14:paraId="78D7A195">
            <w:pPr>
              <w:snapToGrid w:val="0"/>
              <w:jc w:val="center"/>
              <w:rPr>
                <w:rFonts w:ascii="Times New Roman" w:hAnsi="Times New Roman" w:eastAsia="宋体" w:cs="Times New Roman"/>
                <w:kern w:val="2"/>
                <w:sz w:val="21"/>
                <w:szCs w:val="21"/>
                <w:lang w:val="en-US" w:eastAsia="zh-CN" w:bidi="ar-SA"/>
              </w:rPr>
            </w:pPr>
            <w:r>
              <w:rPr>
                <w:rFonts w:ascii="Times New Roman" w:hAnsi="Times New Roman" w:cs="Times New Roman"/>
                <w:szCs w:val="21"/>
              </w:rPr>
              <w:t>气密性</w:t>
            </w:r>
          </w:p>
        </w:tc>
        <w:tc>
          <w:tcPr>
            <w:tcW w:w="3954" w:type="dxa"/>
            <w:shd w:val="clear"/>
            <w:vAlign w:val="center"/>
          </w:tcPr>
          <w:p w14:paraId="2FA2E30B">
            <w:pPr>
              <w:snapToGrid w:val="0"/>
              <w:jc w:val="center"/>
              <w:rPr>
                <w:rFonts w:ascii="Times New Roman" w:hAnsi="Times New Roman" w:eastAsia="宋体" w:cs="Times New Roman"/>
                <w:kern w:val="2"/>
                <w:sz w:val="21"/>
                <w:szCs w:val="21"/>
                <w:lang w:val="en-US" w:eastAsia="zh-CN" w:bidi="ar-SA"/>
              </w:rPr>
            </w:pPr>
            <w:r>
              <w:rPr>
                <w:rFonts w:ascii="Times New Roman" w:hAnsi="Times New Roman" w:cs="Times New Roman"/>
                <w:szCs w:val="21"/>
              </w:rPr>
              <w:t>GB 44017—2024</w:t>
            </w:r>
          </w:p>
        </w:tc>
      </w:tr>
      <w:tr w14:paraId="4178AF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91" w:hRule="atLeast"/>
        </w:trPr>
        <w:tc>
          <w:tcPr>
            <w:tcW w:w="914" w:type="dxa"/>
            <w:vAlign w:val="center"/>
          </w:tcPr>
          <w:p w14:paraId="4F0C813B">
            <w:pPr>
              <w:snapToGrid w:val="0"/>
              <w:jc w:val="center"/>
              <w:rPr>
                <w:rFonts w:ascii="Times New Roman" w:hAnsi="Times New Roman" w:cs="Times New Roman"/>
                <w:szCs w:val="21"/>
              </w:rPr>
            </w:pPr>
            <w:r>
              <w:rPr>
                <w:rFonts w:ascii="Times New Roman" w:hAnsi="Times New Roman" w:cs="Times New Roman"/>
                <w:szCs w:val="21"/>
              </w:rPr>
              <w:t>2</w:t>
            </w:r>
          </w:p>
        </w:tc>
        <w:tc>
          <w:tcPr>
            <w:tcW w:w="1306" w:type="dxa"/>
            <w:vMerge w:val="restart"/>
            <w:vAlign w:val="center"/>
          </w:tcPr>
          <w:p w14:paraId="1533D814">
            <w:pPr>
              <w:snapToGrid w:val="0"/>
              <w:jc w:val="center"/>
              <w:rPr>
                <w:rFonts w:ascii="Times New Roman" w:hAnsi="Times New Roman" w:cs="Times New Roman"/>
                <w:szCs w:val="21"/>
              </w:rPr>
            </w:pPr>
            <w:r>
              <w:rPr>
                <w:rFonts w:ascii="Times New Roman" w:hAnsi="Times New Roman" w:cs="Times New Roman"/>
                <w:szCs w:val="21"/>
              </w:rPr>
              <w:t>内层胶管</w:t>
            </w:r>
          </w:p>
        </w:tc>
        <w:tc>
          <w:tcPr>
            <w:tcW w:w="2070" w:type="dxa"/>
            <w:vAlign w:val="center"/>
          </w:tcPr>
          <w:p w14:paraId="41991BB3">
            <w:pPr>
              <w:snapToGrid w:val="0"/>
              <w:jc w:val="center"/>
              <w:rPr>
                <w:rFonts w:ascii="Times New Roman" w:hAnsi="Times New Roman" w:cs="Times New Roman"/>
                <w:szCs w:val="21"/>
              </w:rPr>
            </w:pPr>
            <w:r>
              <w:rPr>
                <w:rFonts w:ascii="Times New Roman" w:hAnsi="Times New Roman" w:cs="Times New Roman"/>
                <w:szCs w:val="21"/>
              </w:rPr>
              <w:t>拉伸强度</w:t>
            </w:r>
          </w:p>
        </w:tc>
        <w:tc>
          <w:tcPr>
            <w:tcW w:w="3954" w:type="dxa"/>
            <w:vAlign w:val="center"/>
          </w:tcPr>
          <w:p w14:paraId="2A4D8AC5">
            <w:pPr>
              <w:snapToGrid w:val="0"/>
              <w:jc w:val="center"/>
              <w:rPr>
                <w:rFonts w:ascii="Times New Roman" w:hAnsi="Times New Roman" w:cs="Times New Roman"/>
                <w:szCs w:val="21"/>
              </w:rPr>
            </w:pPr>
            <w:r>
              <w:rPr>
                <w:rFonts w:ascii="Times New Roman" w:hAnsi="Times New Roman" w:cs="Times New Roman"/>
                <w:szCs w:val="21"/>
              </w:rPr>
              <w:t>GB 44023—2024</w:t>
            </w:r>
          </w:p>
        </w:tc>
      </w:tr>
      <w:tr w14:paraId="20E661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1" w:hRule="atLeast"/>
        </w:trPr>
        <w:tc>
          <w:tcPr>
            <w:tcW w:w="914" w:type="dxa"/>
            <w:vAlign w:val="center"/>
          </w:tcPr>
          <w:p w14:paraId="7437A1A2">
            <w:pPr>
              <w:snapToGrid w:val="0"/>
              <w:jc w:val="center"/>
              <w:rPr>
                <w:rFonts w:ascii="Times New Roman" w:hAnsi="Times New Roman" w:cs="Times New Roman"/>
                <w:szCs w:val="21"/>
              </w:rPr>
            </w:pPr>
            <w:r>
              <w:rPr>
                <w:rFonts w:ascii="Times New Roman" w:hAnsi="Times New Roman" w:cs="Times New Roman"/>
                <w:szCs w:val="21"/>
              </w:rPr>
              <w:t>3</w:t>
            </w:r>
          </w:p>
        </w:tc>
        <w:tc>
          <w:tcPr>
            <w:tcW w:w="1306" w:type="dxa"/>
            <w:vMerge w:val="continue"/>
          </w:tcPr>
          <w:p w14:paraId="2F8366F8">
            <w:pPr>
              <w:snapToGrid w:val="0"/>
              <w:jc w:val="center"/>
              <w:rPr>
                <w:rFonts w:ascii="Times New Roman" w:hAnsi="Times New Roman" w:cs="Times New Roman"/>
                <w:szCs w:val="21"/>
              </w:rPr>
            </w:pPr>
          </w:p>
        </w:tc>
        <w:tc>
          <w:tcPr>
            <w:tcW w:w="2070" w:type="dxa"/>
            <w:vAlign w:val="center"/>
          </w:tcPr>
          <w:p w14:paraId="1C0A9363">
            <w:pPr>
              <w:snapToGrid w:val="0"/>
              <w:jc w:val="center"/>
              <w:rPr>
                <w:rFonts w:ascii="Times New Roman" w:hAnsi="Times New Roman" w:cs="Times New Roman"/>
                <w:szCs w:val="21"/>
              </w:rPr>
            </w:pPr>
            <w:r>
              <w:rPr>
                <w:rFonts w:ascii="Times New Roman" w:hAnsi="Times New Roman" w:cs="Times New Roman"/>
                <w:szCs w:val="21"/>
              </w:rPr>
              <w:t>拉断伸长率</w:t>
            </w:r>
          </w:p>
        </w:tc>
        <w:tc>
          <w:tcPr>
            <w:tcW w:w="3954" w:type="dxa"/>
            <w:vAlign w:val="center"/>
          </w:tcPr>
          <w:p w14:paraId="30E8E0DF">
            <w:pPr>
              <w:snapToGrid w:val="0"/>
              <w:jc w:val="center"/>
              <w:rPr>
                <w:rFonts w:ascii="Times New Roman" w:hAnsi="Times New Roman" w:cs="Times New Roman"/>
                <w:szCs w:val="21"/>
              </w:rPr>
            </w:pPr>
            <w:r>
              <w:rPr>
                <w:rFonts w:ascii="Times New Roman" w:hAnsi="Times New Roman" w:cs="Times New Roman"/>
                <w:szCs w:val="21"/>
              </w:rPr>
              <w:t>GB 44023—2024</w:t>
            </w:r>
          </w:p>
        </w:tc>
      </w:tr>
      <w:tr w14:paraId="233DFC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91" w:hRule="atLeast"/>
        </w:trPr>
        <w:tc>
          <w:tcPr>
            <w:tcW w:w="914" w:type="dxa"/>
            <w:vAlign w:val="center"/>
          </w:tcPr>
          <w:p w14:paraId="278F73B3">
            <w:pPr>
              <w:snapToGrid w:val="0"/>
              <w:jc w:val="center"/>
              <w:rPr>
                <w:rFonts w:ascii="Times New Roman" w:hAnsi="Times New Roman" w:cs="Times New Roman"/>
                <w:szCs w:val="21"/>
              </w:rPr>
            </w:pPr>
            <w:r>
              <w:rPr>
                <w:rFonts w:ascii="Times New Roman" w:hAnsi="Times New Roman" w:cs="Times New Roman"/>
                <w:szCs w:val="21"/>
              </w:rPr>
              <w:t>4</w:t>
            </w:r>
          </w:p>
        </w:tc>
        <w:tc>
          <w:tcPr>
            <w:tcW w:w="3376" w:type="dxa"/>
            <w:gridSpan w:val="2"/>
            <w:vAlign w:val="center"/>
          </w:tcPr>
          <w:p w14:paraId="6061FC48">
            <w:pPr>
              <w:snapToGrid w:val="0"/>
              <w:jc w:val="center"/>
              <w:rPr>
                <w:rFonts w:ascii="Times New Roman" w:hAnsi="Times New Roman" w:cs="Times New Roman"/>
                <w:szCs w:val="21"/>
              </w:rPr>
            </w:pPr>
            <w:r>
              <w:rPr>
                <w:rFonts w:ascii="Times New Roman" w:hAnsi="Times New Roman" w:cs="Times New Roman"/>
                <w:szCs w:val="21"/>
              </w:rPr>
              <w:t>耐压性</w:t>
            </w:r>
          </w:p>
        </w:tc>
        <w:tc>
          <w:tcPr>
            <w:tcW w:w="3954" w:type="dxa"/>
            <w:vAlign w:val="center"/>
          </w:tcPr>
          <w:p w14:paraId="084DC087">
            <w:pPr>
              <w:snapToGrid w:val="0"/>
              <w:jc w:val="center"/>
              <w:rPr>
                <w:rFonts w:ascii="Times New Roman" w:hAnsi="Times New Roman" w:cs="Times New Roman"/>
                <w:szCs w:val="21"/>
              </w:rPr>
            </w:pPr>
            <w:r>
              <w:rPr>
                <w:rFonts w:ascii="Times New Roman" w:hAnsi="Times New Roman" w:cs="Times New Roman"/>
                <w:szCs w:val="21"/>
              </w:rPr>
              <w:t>GB 44017—2024</w:t>
            </w:r>
          </w:p>
        </w:tc>
      </w:tr>
      <w:tr w14:paraId="491CF5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3" w:hRule="atLeast"/>
        </w:trPr>
        <w:tc>
          <w:tcPr>
            <w:tcW w:w="914" w:type="dxa"/>
            <w:vAlign w:val="center"/>
          </w:tcPr>
          <w:p w14:paraId="4D55523E">
            <w:pPr>
              <w:snapToGrid w:val="0"/>
              <w:jc w:val="center"/>
              <w:rPr>
                <w:rFonts w:ascii="Times New Roman" w:hAnsi="Times New Roman" w:cs="Times New Roman"/>
                <w:szCs w:val="21"/>
              </w:rPr>
            </w:pPr>
            <w:r>
              <w:rPr>
                <w:rFonts w:ascii="Times New Roman" w:hAnsi="Times New Roman" w:cs="Times New Roman"/>
                <w:szCs w:val="21"/>
              </w:rPr>
              <w:t>5</w:t>
            </w:r>
          </w:p>
        </w:tc>
        <w:tc>
          <w:tcPr>
            <w:tcW w:w="3376" w:type="dxa"/>
            <w:gridSpan w:val="2"/>
            <w:vAlign w:val="center"/>
          </w:tcPr>
          <w:p w14:paraId="2F1CB435">
            <w:pPr>
              <w:snapToGrid w:val="0"/>
              <w:jc w:val="center"/>
              <w:rPr>
                <w:rFonts w:ascii="Times New Roman" w:hAnsi="Times New Roman" w:cs="Times New Roman"/>
                <w:szCs w:val="21"/>
              </w:rPr>
            </w:pPr>
            <w:r>
              <w:rPr>
                <w:rFonts w:ascii="Times New Roman" w:hAnsi="Times New Roman" w:cs="Times New Roman"/>
                <w:szCs w:val="21"/>
              </w:rPr>
              <w:t>耐安装强度</w:t>
            </w:r>
          </w:p>
        </w:tc>
        <w:tc>
          <w:tcPr>
            <w:tcW w:w="3954" w:type="dxa"/>
            <w:vAlign w:val="center"/>
          </w:tcPr>
          <w:p w14:paraId="404738F7">
            <w:pPr>
              <w:snapToGrid w:val="0"/>
              <w:jc w:val="center"/>
              <w:rPr>
                <w:rFonts w:ascii="Times New Roman" w:hAnsi="Times New Roman" w:cs="Times New Roman"/>
                <w:szCs w:val="21"/>
              </w:rPr>
            </w:pPr>
            <w:r>
              <w:rPr>
                <w:rFonts w:ascii="Times New Roman" w:hAnsi="Times New Roman" w:cs="Times New Roman"/>
                <w:szCs w:val="21"/>
              </w:rPr>
              <w:t>GB 44017—2024</w:t>
            </w:r>
          </w:p>
        </w:tc>
      </w:tr>
    </w:tbl>
    <w:p w14:paraId="6D702499">
      <w:pPr>
        <w:snapToGrid w:val="0"/>
        <w:spacing w:line="440" w:lineRule="exact"/>
        <w:jc w:val="center"/>
        <w:rPr>
          <w:szCs w:val="21"/>
        </w:rPr>
      </w:pPr>
    </w:p>
    <w:p w14:paraId="10B8F5F1">
      <w:pPr>
        <w:adjustRightInd w:val="0"/>
        <w:snapToGrid w:val="0"/>
        <w:spacing w:line="440" w:lineRule="exact"/>
        <w:ind w:firstLine="420" w:firstLineChars="200"/>
        <w:rPr>
          <w:szCs w:val="21"/>
        </w:rPr>
      </w:pPr>
      <w:r>
        <w:rPr>
          <w:szCs w:val="21"/>
        </w:rPr>
        <w:t>执行企业标准、团体标准、地方标准的产品，检验项目参照上述内容执行。</w:t>
      </w:r>
    </w:p>
    <w:p w14:paraId="751D829F">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14:paraId="6378E99B">
      <w:pPr>
        <w:snapToGrid w:val="0"/>
        <w:spacing w:line="440" w:lineRule="exact"/>
        <w:ind w:firstLine="420" w:firstLineChars="200"/>
        <w:rPr>
          <w:szCs w:val="21"/>
        </w:rPr>
      </w:pPr>
      <w:bookmarkStart w:id="0" w:name="_GoBack"/>
      <w:bookmarkEnd w:id="0"/>
    </w:p>
    <w:p w14:paraId="1667489C">
      <w:pPr>
        <w:snapToGrid w:val="0"/>
        <w:spacing w:line="440" w:lineRule="exact"/>
        <w:rPr>
          <w:rFonts w:eastAsia="黑体"/>
          <w:szCs w:val="21"/>
        </w:rPr>
      </w:pPr>
      <w:r>
        <w:rPr>
          <w:rFonts w:eastAsia="黑体"/>
          <w:szCs w:val="21"/>
        </w:rPr>
        <w:t>3 判定规则</w:t>
      </w:r>
    </w:p>
    <w:p w14:paraId="518ABD8A">
      <w:pPr>
        <w:spacing w:after="0" w:line="256" w:lineRule="exact"/>
        <w:ind w:left="40"/>
        <w:rPr>
          <w:sz w:val="20"/>
          <w:szCs w:val="20"/>
        </w:rPr>
      </w:pPr>
      <w:r>
        <w:rPr>
          <w:sz w:val="21"/>
          <w:szCs w:val="21"/>
        </w:rPr>
        <w:t xml:space="preserve">3.1 </w:t>
      </w:r>
      <w:r>
        <w:rPr>
          <w:rFonts w:ascii="宋体" w:hAnsi="宋体" w:eastAsia="宋体" w:cs="宋体"/>
          <w:sz w:val="21"/>
          <w:szCs w:val="21"/>
        </w:rPr>
        <w:t>依据标准</w:t>
      </w:r>
    </w:p>
    <w:p w14:paraId="69B0EF2D">
      <w:pPr>
        <w:spacing w:after="0" w:line="186" w:lineRule="exact"/>
        <w:rPr>
          <w:sz w:val="20"/>
          <w:szCs w:val="20"/>
        </w:rPr>
      </w:pPr>
    </w:p>
    <w:p w14:paraId="2CE52C0C">
      <w:pPr>
        <w:spacing w:after="0" w:line="256" w:lineRule="exact"/>
        <w:ind w:left="460"/>
        <w:rPr>
          <w:sz w:val="20"/>
          <w:szCs w:val="20"/>
        </w:rPr>
      </w:pPr>
      <w:r>
        <w:rPr>
          <w:sz w:val="21"/>
          <w:szCs w:val="21"/>
        </w:rPr>
        <w:t>GB 41317</w:t>
      </w:r>
      <w:r>
        <w:rPr>
          <w:rFonts w:ascii="宋体" w:hAnsi="宋体" w:eastAsia="宋体" w:cs="宋体"/>
          <w:sz w:val="21"/>
          <w:szCs w:val="21"/>
        </w:rPr>
        <w:t>—</w:t>
      </w:r>
      <w:r>
        <w:rPr>
          <w:sz w:val="21"/>
          <w:szCs w:val="21"/>
        </w:rPr>
        <w:t xml:space="preserve">2024 </w:t>
      </w:r>
      <w:r>
        <w:rPr>
          <w:rFonts w:ascii="宋体" w:hAnsi="宋体" w:eastAsia="宋体" w:cs="宋体"/>
          <w:sz w:val="21"/>
          <w:szCs w:val="21"/>
        </w:rPr>
        <w:t>燃气用具连接用不锈钢波纹软管</w:t>
      </w:r>
    </w:p>
    <w:p w14:paraId="1C9AF8F2">
      <w:pPr>
        <w:spacing w:after="0" w:line="184" w:lineRule="exact"/>
        <w:rPr>
          <w:sz w:val="20"/>
          <w:szCs w:val="20"/>
        </w:rPr>
      </w:pPr>
    </w:p>
    <w:p w14:paraId="4A110D59">
      <w:pPr>
        <w:spacing w:after="0" w:line="256" w:lineRule="exact"/>
        <w:ind w:left="460"/>
        <w:rPr>
          <w:sz w:val="20"/>
          <w:szCs w:val="20"/>
        </w:rPr>
      </w:pPr>
      <w:r>
        <w:rPr>
          <w:sz w:val="21"/>
          <w:szCs w:val="21"/>
        </w:rPr>
        <w:t>GB 44017</w:t>
      </w:r>
      <w:r>
        <w:rPr>
          <w:rFonts w:ascii="宋体" w:hAnsi="宋体" w:eastAsia="宋体" w:cs="宋体"/>
          <w:b/>
          <w:bCs/>
          <w:sz w:val="21"/>
          <w:szCs w:val="21"/>
        </w:rPr>
        <w:t>—</w:t>
      </w:r>
      <w:r>
        <w:rPr>
          <w:sz w:val="21"/>
          <w:szCs w:val="21"/>
        </w:rPr>
        <w:t xml:space="preserve">2024  </w:t>
      </w:r>
      <w:r>
        <w:rPr>
          <w:rFonts w:ascii="宋体" w:hAnsi="宋体" w:eastAsia="宋体" w:cs="宋体"/>
          <w:sz w:val="21"/>
          <w:szCs w:val="21"/>
        </w:rPr>
        <w:t>燃气用具连接用金属包覆软管</w:t>
      </w:r>
    </w:p>
    <w:p w14:paraId="73861687">
      <w:pPr>
        <w:spacing w:after="0" w:line="184" w:lineRule="exact"/>
        <w:rPr>
          <w:sz w:val="20"/>
          <w:szCs w:val="20"/>
        </w:rPr>
      </w:pPr>
    </w:p>
    <w:p w14:paraId="62B64772">
      <w:pPr>
        <w:spacing w:after="0" w:line="256" w:lineRule="exact"/>
        <w:ind w:left="460"/>
        <w:rPr>
          <w:sz w:val="20"/>
          <w:szCs w:val="20"/>
        </w:rPr>
      </w:pPr>
      <w:r>
        <w:rPr>
          <w:sz w:val="21"/>
          <w:szCs w:val="21"/>
        </w:rPr>
        <w:t>CJ/T 197</w:t>
      </w:r>
      <w:r>
        <w:rPr>
          <w:rFonts w:ascii="宋体" w:hAnsi="宋体" w:eastAsia="宋体" w:cs="宋体"/>
          <w:sz w:val="21"/>
          <w:szCs w:val="21"/>
        </w:rPr>
        <w:t>—</w:t>
      </w:r>
      <w:r>
        <w:rPr>
          <w:sz w:val="21"/>
          <w:szCs w:val="21"/>
        </w:rPr>
        <w:t xml:space="preserve">2010  </w:t>
      </w:r>
      <w:r>
        <w:rPr>
          <w:rFonts w:ascii="宋体" w:hAnsi="宋体" w:eastAsia="宋体" w:cs="宋体"/>
          <w:sz w:val="21"/>
          <w:szCs w:val="21"/>
        </w:rPr>
        <w:t>燃气用具连接用不锈钢波纹软管</w:t>
      </w:r>
    </w:p>
    <w:p w14:paraId="53633899">
      <w:pPr>
        <w:spacing w:after="0" w:line="185" w:lineRule="exact"/>
        <w:rPr>
          <w:sz w:val="20"/>
          <w:szCs w:val="20"/>
        </w:rPr>
      </w:pPr>
    </w:p>
    <w:p w14:paraId="3DA9A71C">
      <w:pPr>
        <w:spacing w:after="0" w:line="240" w:lineRule="exact"/>
        <w:ind w:left="460"/>
        <w:rPr>
          <w:sz w:val="20"/>
          <w:szCs w:val="20"/>
        </w:rPr>
      </w:pPr>
      <w:r>
        <w:rPr>
          <w:rFonts w:ascii="宋体" w:hAnsi="宋体" w:eastAsia="宋体" w:cs="宋体"/>
          <w:sz w:val="21"/>
          <w:szCs w:val="21"/>
        </w:rPr>
        <w:t>现行有效的企业标准、团体标准、地方标准及产品明示质量要求</w:t>
      </w:r>
    </w:p>
    <w:p w14:paraId="274DEDCF">
      <w:pPr>
        <w:snapToGrid w:val="0"/>
        <w:spacing w:line="440" w:lineRule="exact"/>
        <w:rPr>
          <w:szCs w:val="21"/>
        </w:rPr>
      </w:pPr>
      <w:r>
        <w:rPr>
          <w:szCs w:val="21"/>
        </w:rPr>
        <w:t>3.2判定原则</w:t>
      </w:r>
    </w:p>
    <w:p w14:paraId="34EBF0D9">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0F7662C5">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24F02251">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1E4BC4E">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7E63023">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3E1B611E">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4"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DE27A">
    <w:pPr>
      <w:pStyle w:val="5"/>
      <w:jc w:val="center"/>
    </w:pPr>
    <w:r>
      <w:rPr>
        <w:lang w:val="zh-CN" w:eastAsia="zh-CN"/>
      </w:rPr>
      <w:fldChar w:fldCharType="begin"/>
    </w:r>
    <w:r>
      <w:rPr>
        <w:lang w:val="zh-CN" w:eastAsia="zh-CN"/>
      </w:rPr>
      <w:instrText xml:space="preserve"> PAGE   \* MERGEFORMAT </w:instrText>
    </w:r>
    <w:r>
      <w:rPr>
        <w:lang w:val="zh-CN" w:eastAsia="zh-CN"/>
      </w:rPr>
      <w:fldChar w:fldCharType="separate"/>
    </w:r>
    <w:r>
      <w:rPr>
        <w:lang w:val="en-US" w:eastAsia="zh-CN"/>
      </w:rPr>
      <w:t>2</w:t>
    </w:r>
    <w:r>
      <w:rPr>
        <w:lang w:val="zh-CN" w:eastAsia="zh-CN"/>
      </w:rPr>
      <w:fldChar w:fldCharType="end"/>
    </w:r>
  </w:p>
  <w:p w14:paraId="70E7A956">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61B77">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503ECA8B">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15245">
    <w:pPr>
      <w:pStyle w:val="6"/>
    </w:pPr>
    <w:r>
      <w:rPr>
        <w:rFonts w:hint="eastAsia"/>
      </w:rPr>
      <w:t>榕市监消则(202</w:t>
    </w:r>
    <w:r>
      <w:rPr>
        <w:rFonts w:hint="eastAsia"/>
        <w:lang w:val="en-US" w:eastAsia="zh-CN"/>
      </w:rPr>
      <w:t>6</w:t>
    </w:r>
    <w:r>
      <w:rPr>
        <w:rFonts w:hint="eastAsia"/>
      </w:rPr>
      <w:t>)-005</w:t>
    </w:r>
  </w:p>
  <w:p w14:paraId="6664A929">
    <w:pPr>
      <w:pStyle w:val="6"/>
      <w:pBdr>
        <w:bottom w:val="none" w:color="auto" w:sz="0" w:space="0"/>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g4OTg1NmNkMjkyNzk2OWIxODU2Nzg5ODExMzMzMzIifQ=="/>
  </w:docVars>
  <w:rsids>
    <w:rsidRoot w:val="00172A27"/>
    <w:rsid w:val="0001140A"/>
    <w:rsid w:val="00014F5D"/>
    <w:rsid w:val="00042079"/>
    <w:rsid w:val="00051A44"/>
    <w:rsid w:val="000551BE"/>
    <w:rsid w:val="00063E6F"/>
    <w:rsid w:val="0007034B"/>
    <w:rsid w:val="00081CBD"/>
    <w:rsid w:val="000918D9"/>
    <w:rsid w:val="000976DE"/>
    <w:rsid w:val="000A7CFE"/>
    <w:rsid w:val="000F339A"/>
    <w:rsid w:val="001443FA"/>
    <w:rsid w:val="001809DD"/>
    <w:rsid w:val="001E7994"/>
    <w:rsid w:val="001F2841"/>
    <w:rsid w:val="00224896"/>
    <w:rsid w:val="00232C8D"/>
    <w:rsid w:val="00253624"/>
    <w:rsid w:val="00254723"/>
    <w:rsid w:val="00266DDB"/>
    <w:rsid w:val="00292CD6"/>
    <w:rsid w:val="002A0665"/>
    <w:rsid w:val="002B0116"/>
    <w:rsid w:val="002B354F"/>
    <w:rsid w:val="002B7C00"/>
    <w:rsid w:val="002D7F8A"/>
    <w:rsid w:val="002E0D1D"/>
    <w:rsid w:val="002E7DCB"/>
    <w:rsid w:val="003203A3"/>
    <w:rsid w:val="00344D97"/>
    <w:rsid w:val="00367225"/>
    <w:rsid w:val="00373911"/>
    <w:rsid w:val="003A191F"/>
    <w:rsid w:val="003A42CF"/>
    <w:rsid w:val="003A6053"/>
    <w:rsid w:val="003B31EF"/>
    <w:rsid w:val="003B79A7"/>
    <w:rsid w:val="003C388C"/>
    <w:rsid w:val="003E61BF"/>
    <w:rsid w:val="00434F7A"/>
    <w:rsid w:val="00437A6F"/>
    <w:rsid w:val="00445E86"/>
    <w:rsid w:val="00471711"/>
    <w:rsid w:val="00474E04"/>
    <w:rsid w:val="004861D2"/>
    <w:rsid w:val="004A64F6"/>
    <w:rsid w:val="004D0C5A"/>
    <w:rsid w:val="004E1396"/>
    <w:rsid w:val="004E2763"/>
    <w:rsid w:val="00502728"/>
    <w:rsid w:val="00557341"/>
    <w:rsid w:val="005620CA"/>
    <w:rsid w:val="00563EBC"/>
    <w:rsid w:val="00567E39"/>
    <w:rsid w:val="00581577"/>
    <w:rsid w:val="00594F29"/>
    <w:rsid w:val="00617A6E"/>
    <w:rsid w:val="00634361"/>
    <w:rsid w:val="00695443"/>
    <w:rsid w:val="006C1CB3"/>
    <w:rsid w:val="006D2270"/>
    <w:rsid w:val="006F0971"/>
    <w:rsid w:val="00703A09"/>
    <w:rsid w:val="00715F1B"/>
    <w:rsid w:val="0072334C"/>
    <w:rsid w:val="00756EEA"/>
    <w:rsid w:val="00774B9D"/>
    <w:rsid w:val="007A4737"/>
    <w:rsid w:val="007B082A"/>
    <w:rsid w:val="007B26A6"/>
    <w:rsid w:val="007B4D86"/>
    <w:rsid w:val="007B7FE1"/>
    <w:rsid w:val="007C4790"/>
    <w:rsid w:val="007E34F1"/>
    <w:rsid w:val="007F1330"/>
    <w:rsid w:val="007F2AAB"/>
    <w:rsid w:val="00842E9F"/>
    <w:rsid w:val="008750FB"/>
    <w:rsid w:val="00895BEA"/>
    <w:rsid w:val="008A2ABF"/>
    <w:rsid w:val="008A3497"/>
    <w:rsid w:val="008A414C"/>
    <w:rsid w:val="008A76F3"/>
    <w:rsid w:val="0090102B"/>
    <w:rsid w:val="00917A54"/>
    <w:rsid w:val="009614D7"/>
    <w:rsid w:val="00976918"/>
    <w:rsid w:val="009E5B77"/>
    <w:rsid w:val="00A405A3"/>
    <w:rsid w:val="00A43553"/>
    <w:rsid w:val="00A7089A"/>
    <w:rsid w:val="00AA0A39"/>
    <w:rsid w:val="00AB1789"/>
    <w:rsid w:val="00AE7887"/>
    <w:rsid w:val="00B1149C"/>
    <w:rsid w:val="00B20554"/>
    <w:rsid w:val="00B24FB0"/>
    <w:rsid w:val="00B51475"/>
    <w:rsid w:val="00B734DF"/>
    <w:rsid w:val="00B82380"/>
    <w:rsid w:val="00B87FEB"/>
    <w:rsid w:val="00BB5728"/>
    <w:rsid w:val="00BC21C4"/>
    <w:rsid w:val="00BC66AF"/>
    <w:rsid w:val="00BD0BE0"/>
    <w:rsid w:val="00BF49F4"/>
    <w:rsid w:val="00BF5CBE"/>
    <w:rsid w:val="00C000B6"/>
    <w:rsid w:val="00C22DE6"/>
    <w:rsid w:val="00C26074"/>
    <w:rsid w:val="00C64582"/>
    <w:rsid w:val="00C8175D"/>
    <w:rsid w:val="00C83B0A"/>
    <w:rsid w:val="00CA6077"/>
    <w:rsid w:val="00CB31CC"/>
    <w:rsid w:val="00CD0A0A"/>
    <w:rsid w:val="00CE1E0C"/>
    <w:rsid w:val="00CE277E"/>
    <w:rsid w:val="00D234F9"/>
    <w:rsid w:val="00D444F1"/>
    <w:rsid w:val="00D56563"/>
    <w:rsid w:val="00D56867"/>
    <w:rsid w:val="00D81B8E"/>
    <w:rsid w:val="00DF5302"/>
    <w:rsid w:val="00E02A7F"/>
    <w:rsid w:val="00E07880"/>
    <w:rsid w:val="00E52184"/>
    <w:rsid w:val="00E5470F"/>
    <w:rsid w:val="00E5530B"/>
    <w:rsid w:val="00E66FF1"/>
    <w:rsid w:val="00E82621"/>
    <w:rsid w:val="00EB3FF2"/>
    <w:rsid w:val="00EB7BB0"/>
    <w:rsid w:val="00EC62F3"/>
    <w:rsid w:val="00EE07CE"/>
    <w:rsid w:val="00F17292"/>
    <w:rsid w:val="00F77C9A"/>
    <w:rsid w:val="00F8267D"/>
    <w:rsid w:val="00F83A68"/>
    <w:rsid w:val="00FA288A"/>
    <w:rsid w:val="00FB576C"/>
    <w:rsid w:val="00FC1C73"/>
    <w:rsid w:val="00FD2AA6"/>
    <w:rsid w:val="00FE7E8A"/>
    <w:rsid w:val="01AA455C"/>
    <w:rsid w:val="01D31FC1"/>
    <w:rsid w:val="03271383"/>
    <w:rsid w:val="034B06A7"/>
    <w:rsid w:val="047C1A74"/>
    <w:rsid w:val="04DC6693"/>
    <w:rsid w:val="06EB1CA2"/>
    <w:rsid w:val="084E56B7"/>
    <w:rsid w:val="0D36410D"/>
    <w:rsid w:val="0E2B4963"/>
    <w:rsid w:val="0E3F66B5"/>
    <w:rsid w:val="0E6C13DD"/>
    <w:rsid w:val="0F015B82"/>
    <w:rsid w:val="0F045398"/>
    <w:rsid w:val="0F3A1B87"/>
    <w:rsid w:val="12041B90"/>
    <w:rsid w:val="14773A8D"/>
    <w:rsid w:val="175B64C8"/>
    <w:rsid w:val="17BC2837"/>
    <w:rsid w:val="18CB28C1"/>
    <w:rsid w:val="1A063EA6"/>
    <w:rsid w:val="1A1C3DB2"/>
    <w:rsid w:val="1A6E7662"/>
    <w:rsid w:val="1F4505EC"/>
    <w:rsid w:val="20230CFC"/>
    <w:rsid w:val="22F06353"/>
    <w:rsid w:val="24211E87"/>
    <w:rsid w:val="26F61123"/>
    <w:rsid w:val="27E71422"/>
    <w:rsid w:val="2B2F1459"/>
    <w:rsid w:val="2B4A5B06"/>
    <w:rsid w:val="2B762AAE"/>
    <w:rsid w:val="2BC7071B"/>
    <w:rsid w:val="2E6D6B17"/>
    <w:rsid w:val="32AB6145"/>
    <w:rsid w:val="35355C55"/>
    <w:rsid w:val="380973EF"/>
    <w:rsid w:val="38BD1667"/>
    <w:rsid w:val="3B5F6C36"/>
    <w:rsid w:val="3D8B427F"/>
    <w:rsid w:val="3E1363F0"/>
    <w:rsid w:val="41CE60F6"/>
    <w:rsid w:val="422E1FA9"/>
    <w:rsid w:val="44C00944"/>
    <w:rsid w:val="47815A50"/>
    <w:rsid w:val="48820BE0"/>
    <w:rsid w:val="49D21ECF"/>
    <w:rsid w:val="4E6503AC"/>
    <w:rsid w:val="4FA0113F"/>
    <w:rsid w:val="4FD327B5"/>
    <w:rsid w:val="516C7EFD"/>
    <w:rsid w:val="51E4795C"/>
    <w:rsid w:val="52557B96"/>
    <w:rsid w:val="5403660A"/>
    <w:rsid w:val="549758F1"/>
    <w:rsid w:val="5A843166"/>
    <w:rsid w:val="5BFF13ED"/>
    <w:rsid w:val="5CA347A9"/>
    <w:rsid w:val="5F241661"/>
    <w:rsid w:val="5F6903CA"/>
    <w:rsid w:val="6838461D"/>
    <w:rsid w:val="6A5137E2"/>
    <w:rsid w:val="6C4E5617"/>
    <w:rsid w:val="6CF9296E"/>
    <w:rsid w:val="6E0E7749"/>
    <w:rsid w:val="6F503C49"/>
    <w:rsid w:val="6F5603D4"/>
    <w:rsid w:val="70455FFA"/>
    <w:rsid w:val="71A8788B"/>
    <w:rsid w:val="741B11C9"/>
    <w:rsid w:val="751C5176"/>
    <w:rsid w:val="77E676B2"/>
    <w:rsid w:val="78111B6A"/>
    <w:rsid w:val="7E4E1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unhideWhenUsed/>
    <w:uiPriority w:val="99"/>
    <w:pPr>
      <w:jc w:val="left"/>
    </w:pPr>
  </w:style>
  <w:style w:type="paragraph" w:styleId="3">
    <w:name w:val="Plain Text"/>
    <w:basedOn w:val="1"/>
    <w:link w:val="11"/>
    <w:unhideWhenUsed/>
    <w:uiPriority w:val="0"/>
    <w:rPr>
      <w:rFonts w:ascii="宋体" w:hAnsi="Courier New"/>
      <w:kern w:val="0"/>
      <w:sz w:val="20"/>
      <w:szCs w:val="20"/>
    </w:rPr>
  </w:style>
  <w:style w:type="paragraph" w:styleId="4">
    <w:name w:val="Balloon Text"/>
    <w:basedOn w:val="1"/>
    <w:semiHidden/>
    <w:qFormat/>
    <w:uiPriority w:val="0"/>
    <w:rPr>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9">
    <w:name w:val="page number"/>
    <w:uiPriority w:val="0"/>
  </w:style>
  <w:style w:type="character" w:styleId="10">
    <w:name w:val="annotation reference"/>
    <w:unhideWhenUsed/>
    <w:uiPriority w:val="99"/>
    <w:rPr>
      <w:sz w:val="21"/>
      <w:szCs w:val="21"/>
    </w:rPr>
  </w:style>
  <w:style w:type="character" w:customStyle="1" w:styleId="11">
    <w:name w:val="纯文本 Char"/>
    <w:link w:val="3"/>
    <w:semiHidden/>
    <w:qFormat/>
    <w:uiPriority w:val="0"/>
    <w:rPr>
      <w:rFonts w:ascii="宋体" w:hAnsi="Courier New" w:eastAsia="宋体"/>
      <w:lang w:bidi="ar-SA"/>
    </w:rPr>
  </w:style>
  <w:style w:type="character" w:customStyle="1" w:styleId="12">
    <w:name w:val="页脚 Char"/>
    <w:link w:val="5"/>
    <w:uiPriority w:val="99"/>
    <w:rPr>
      <w:kern w:val="2"/>
      <w:sz w:val="18"/>
      <w:szCs w:val="18"/>
    </w:rPr>
  </w:style>
  <w:style w:type="character" w:customStyle="1" w:styleId="13">
    <w:name w:val="页眉 Char"/>
    <w:link w:val="6"/>
    <w:uiPriority w:val="99"/>
    <w:rPr>
      <w:kern w:val="2"/>
      <w:sz w:val="18"/>
      <w:szCs w:val="18"/>
    </w:rPr>
  </w:style>
  <w:style w:type="paragraph" w:customStyle="1" w:styleId="14">
    <w:name w:val="列出段落1"/>
    <w:basedOn w:val="1"/>
    <w:qFormat/>
    <w:uiPriority w:val="34"/>
    <w:pPr>
      <w:ind w:firstLine="420" w:firstLineChars="200"/>
    </w:pPr>
    <w:rPr>
      <w:rFonts w:ascii="Calibri" w:hAnsi="Calibri"/>
      <w:szCs w:val="22"/>
    </w:rPr>
  </w:style>
  <w:style w:type="paragraph" w:customStyle="1" w:styleId="15">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640</Words>
  <Characters>757</Characters>
  <Lines>5</Lines>
  <Paragraphs>1</Paragraphs>
  <TotalTime>2</TotalTime>
  <ScaleCrop>false</ScaleCrop>
  <LinksUpToDate>false</LinksUpToDate>
  <CharactersWithSpaces>775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2025-07-30T01:27:00Z</dcterms:created>
  <dc:creator>Legend User</dc:creator>
  <cp:lastModifiedBy>浪花朵朵</cp:lastModifiedBy>
  <cp:lastPrinted>2023-03-02T12:36:00Z</cp:lastPrinted>
  <dcterms:modified xsi:type="dcterms:W3CDTF">2026-03-27T10:09:42Z</dcterms:modified>
  <dc:title>××产品质量监督抽查实施细则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8A3D4E579E9A433B97AD28D56A6A83EF</vt:lpwstr>
  </property>
  <property fmtid="{D5CDD505-2E9C-101B-9397-08002B2CF9AE}" pid="4" name="KSOTemplateDocerSaveRecord">
    <vt:lpwstr>eyJoZGlkIjoiNDA3YjAzNzhiY2U2ZDViNWVhZmExZTYzNDg3NDNmOTAiLCJ1c2VySWQiOiI5MDgyMzM3NDAifQ==</vt:lpwstr>
  </property>
</Properties>
</file>